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ontserrat" w:cs="Montserrat" w:eastAsia="Montserrat" w:hAnsi="Montserrat"/>
          <w:color w:val="990000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color w:val="990000"/>
          <w:sz w:val="36"/>
          <w:szCs w:val="36"/>
          <w:rtl w:val="0"/>
        </w:rPr>
        <w:t xml:space="preserve">CANYON VIEW</w:t>
      </w:r>
      <w:r w:rsidDel="00000000" w:rsidR="00000000" w:rsidRPr="00000000">
        <w:rPr>
          <w:rFonts w:ascii="Montserrat" w:cs="Montserrat" w:eastAsia="Montserrat" w:hAnsi="Montserrat"/>
          <w:color w:val="990000"/>
          <w:sz w:val="36"/>
          <w:szCs w:val="36"/>
          <w:rtl w:val="0"/>
        </w:rPr>
        <w:t xml:space="preserve"> ELEMENTARY SCHOOL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376886</wp:posOffset>
            </wp:positionH>
            <wp:positionV relativeFrom="paragraph">
              <wp:posOffset>19050</wp:posOffset>
            </wp:positionV>
            <wp:extent cx="753550" cy="1004726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550" cy="10047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ontserrat" w:cs="Montserrat" w:eastAsia="Montserrat" w:hAnsi="Montserrat"/>
          <w:color w:val="990000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color w:val="990000"/>
          <w:sz w:val="36"/>
          <w:szCs w:val="36"/>
          <w:rtl w:val="0"/>
        </w:rPr>
        <w:t xml:space="preserve">COMMUNITY COUNCIL MEETING AGENDA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1/14/25</w:t>
        <w:tab/>
        <w:tab/>
        <w:tab/>
      </w:r>
      <w:r w:rsidDel="00000000" w:rsidR="00000000" w:rsidRPr="00000000">
        <w:rPr>
          <w:b w:val="1"/>
          <w:rtl w:val="0"/>
        </w:rPr>
        <w:t xml:space="preserve">Time: </w:t>
      </w:r>
      <w:r w:rsidDel="00000000" w:rsidR="00000000" w:rsidRPr="00000000">
        <w:rPr>
          <w:rtl w:val="0"/>
        </w:rPr>
        <w:t xml:space="preserve">4:00</w:t>
      </w:r>
      <w:r w:rsidDel="00000000" w:rsidR="00000000" w:rsidRPr="00000000">
        <w:rPr>
          <w:rtl w:val="0"/>
        </w:rPr>
        <w:t xml:space="preserve"> pm</w:t>
        <w:tab/>
        <w:tab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Media Center</w:t>
      </w:r>
    </w:p>
    <w:p w:rsidR="00000000" w:rsidDel="00000000" w:rsidP="00000000" w:rsidRDefault="00000000" w:rsidRPr="00000000" w14:paraId="00000007">
      <w:pPr>
        <w:pageBreakBefore w:val="0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 in Attendance: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Visitors in Attendance: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Agenda Items: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Welcome and call meeting to order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Approval of minutes from our last meeting: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shd w:fill="fbfbfb" w:val="clear"/>
          <w:rtl w:val="0"/>
        </w:rPr>
        <w:t xml:space="preserve">Begin writing TSSP and LAND Trust plans for next school year.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bfbfb" w:val="clear"/>
        <w:ind w:left="1440" w:hanging="36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shd w:fill="fbfbfb" w:val="clear"/>
          <w:rtl w:val="0"/>
        </w:rPr>
        <w:t xml:space="preserve">TSSP will be worked on by school and goals/direction shared with SCC for input.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bfbfb" w:val="clear"/>
        <w:ind w:left="1440" w:hanging="36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shd w:fill="fbfbfb" w:val="clear"/>
          <w:rtl w:val="0"/>
        </w:rPr>
        <w:t xml:space="preserve">SCC will write and develop the LAND Trust plan to address one or more academic goals from TSSP.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Review current year’s LAND Trust plan, data and expenditures and review if on course or if amendments are necessary.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Evaluate continuity of positions funded by Land Trust and TSSP funds.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Options to use funds to support recesses/lunch supervision and possibly more interventions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Continue to discuss procedures for next year’s classes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Announcing class placements at the end of this year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School environmental requests (benefits and challenges)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Review final report for last year’s plan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Closing</w:t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Upcoming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February 11th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March 18th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April 15th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May 13th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School Improvement Goals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center"/>
        <w:rPr>
          <w:rFonts w:ascii="Cambria" w:cs="Cambria" w:eastAsia="Cambria" w:hAnsi="Cambria"/>
          <w:b w:val="1"/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333333"/>
          <w:sz w:val="21"/>
          <w:szCs w:val="21"/>
          <w:highlight w:val="white"/>
          <w:rtl w:val="0"/>
        </w:rPr>
        <w:t xml:space="preserve">By the end of the 2024-25 school year 80% of students in grades K-5 will be at benchmark based on the composite score in Acadience Learning Online (ALO) and 80% of students in grades K-5 will meet typical or better growth on the Acadience Pathway of Progress measure.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333333"/>
          <w:sz w:val="21"/>
          <w:szCs w:val="21"/>
          <w:highlight w:val="white"/>
          <w:rtl w:val="0"/>
        </w:rPr>
        <w:t xml:space="preserve">Canyon View will increase the percentage of kindergarten students who are at or above benchmark in Acadience Reading Nonsense Word Fluency - Correct Letter Sounds (NWF-CLS) by 2%, from Middle of Year (MOY) to End of Year (EOY)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333333"/>
          <w:sz w:val="21"/>
          <w:szCs w:val="21"/>
          <w:highlight w:val="white"/>
          <w:rtl w:val="0"/>
        </w:rPr>
        <w:t xml:space="preserve">Canyon View will increase the percentage of 1st grade students who are at or above benchmark in Acadience Reading Nonsense Word Fluency/Whole Words Read (NWF/WWR) by 20%, from Beginning of Year (BOY) to End of Year (EOY).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b w:val="1"/>
          <w:i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333333"/>
          <w:sz w:val="21"/>
          <w:szCs w:val="21"/>
          <w:highlight w:val="white"/>
          <w:rtl w:val="0"/>
        </w:rPr>
        <w:t xml:space="preserve">By May 2025, 85% of students will be within the low risk range on the Spring SRSS-IE (Student Risk Screening Scale of Externalizing and Internalizing Behaviors) with both internalizing and externalizing behaviors.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SCC Budgets for Canyon View for 2024-2025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1500"/>
        <w:gridCol w:w="1500"/>
        <w:tblGridChange w:id="0">
          <w:tblGrid>
            <w:gridCol w:w="3030"/>
            <w:gridCol w:w="1500"/>
            <w:gridCol w:w="15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Land Trust (4110)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TSSP (5678)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Starting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74,748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131,568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Interventionist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16,920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Interventionist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16,920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Interventionist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16,589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Interventionist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14285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Interventionist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6275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$16,622.00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$30,000.00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BLT - Subs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Admission/Registration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Supplies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.6 FTE Teacher (3rd Grade)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$47,425.00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Adding an hour/day to each interventionist (puts them up to 25 hrs/wk)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$7,050.00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Subs for peer observations &amp; team planning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Spent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68479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121657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Amount Remaining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3,269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9,911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