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CANYON VIEW ELEMENTARY SCHOOL </w:t>
      </w:r>
    </w:p>
    <w:p w:rsidR="00000000" w:rsidDel="00000000" w:rsidP="00000000" w:rsidRDefault="00000000" w:rsidRPr="00000000" w14:paraId="00000002">
      <w:pPr>
        <w:spacing w:line="276" w:lineRule="auto"/>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COMMUNITY COUNCIL MEETING AGENDA</w:t>
      </w:r>
    </w:p>
    <w:p w:rsidR="00000000" w:rsidDel="00000000" w:rsidP="00000000" w:rsidRDefault="00000000" w:rsidRPr="00000000" w14:paraId="00000003">
      <w:pPr>
        <w:shd w:fill="ffffff" w:val="clear"/>
        <w:rPr>
          <w:b w:val="1"/>
        </w:rPr>
      </w:pPr>
      <w:r w:rsidDel="00000000" w:rsidR="00000000" w:rsidRPr="00000000">
        <w:rPr>
          <w:rtl w:val="0"/>
        </w:rPr>
      </w:r>
    </w:p>
    <w:p w:rsidR="00000000" w:rsidDel="00000000" w:rsidP="00000000" w:rsidRDefault="00000000" w:rsidRPr="00000000" w14:paraId="00000004">
      <w:pPr>
        <w:shd w:fill="ffffff" w:val="clear"/>
        <w:rPr>
          <w:b w:val="1"/>
        </w:rPr>
      </w:pPr>
      <w:r w:rsidDel="00000000" w:rsidR="00000000" w:rsidRPr="00000000">
        <w:rPr>
          <w:rtl w:val="0"/>
        </w:rPr>
      </w:r>
    </w:p>
    <w:p w:rsidR="00000000" w:rsidDel="00000000" w:rsidP="00000000" w:rsidRDefault="00000000" w:rsidRPr="00000000" w14:paraId="00000005">
      <w:pPr>
        <w:shd w:fill="ffffff" w:val="clear"/>
        <w:rPr/>
      </w:pPr>
      <w:r w:rsidDel="00000000" w:rsidR="00000000" w:rsidRPr="00000000">
        <w:rPr>
          <w:b w:val="1"/>
          <w:rtl w:val="0"/>
        </w:rPr>
        <w:t xml:space="preserve">Date:</w:t>
      </w:r>
      <w:r w:rsidDel="00000000" w:rsidR="00000000" w:rsidRPr="00000000">
        <w:rPr>
          <w:rtl w:val="0"/>
        </w:rPr>
        <w:t xml:space="preserve"> 2/11/25                          </w:t>
      </w:r>
      <w:r w:rsidDel="00000000" w:rsidR="00000000" w:rsidRPr="00000000">
        <w:rPr>
          <w:b w:val="1"/>
          <w:rtl w:val="0"/>
        </w:rPr>
        <w:t xml:space="preserve">Time: </w:t>
      </w:r>
      <w:r w:rsidDel="00000000" w:rsidR="00000000" w:rsidRPr="00000000">
        <w:rPr>
          <w:rtl w:val="0"/>
        </w:rPr>
        <w:t xml:space="preserve">4:00 pm                        </w:t>
      </w:r>
      <w:r w:rsidDel="00000000" w:rsidR="00000000" w:rsidRPr="00000000">
        <w:rPr>
          <w:b w:val="1"/>
          <w:rtl w:val="0"/>
        </w:rPr>
        <w:t xml:space="preserve">Location:</w:t>
      </w:r>
      <w:r w:rsidDel="00000000" w:rsidR="00000000" w:rsidRPr="00000000">
        <w:rPr>
          <w:rtl w:val="0"/>
        </w:rPr>
        <w:t xml:space="preserve"> Media Center</w:t>
      </w:r>
    </w:p>
    <w:p w:rsidR="00000000" w:rsidDel="00000000" w:rsidP="00000000" w:rsidRDefault="00000000" w:rsidRPr="00000000" w14:paraId="0000000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7">
      <w:pPr>
        <w:shd w:fill="ffffff" w:val="clear"/>
        <w:rPr>
          <w:color w:val="333333"/>
        </w:rPr>
      </w:pPr>
      <w:r w:rsidDel="00000000" w:rsidR="00000000" w:rsidRPr="00000000">
        <w:rPr>
          <w:b w:val="1"/>
          <w:color w:val="333333"/>
          <w:rtl w:val="0"/>
        </w:rPr>
        <w:t xml:space="preserve">In attendance: </w:t>
      </w:r>
      <w:r w:rsidDel="00000000" w:rsidR="00000000" w:rsidRPr="00000000">
        <w:rPr>
          <w:color w:val="333333"/>
          <w:rtl w:val="0"/>
        </w:rPr>
        <w:t xml:space="preserve">Jenny Heffner, Shawn Walker, Kali Agy, Katie Cartwright (PTA rep), Marian Clark, Kristin Jensen, Carly Miskol, Matthew Miskol, Ann Fisher, Rebecca Carpenter, Raydean Fernandez, Sherri Callens, Holly Uphold, Emily Wallis</w:t>
        <w:br w:type="textWrapping"/>
      </w:r>
    </w:p>
    <w:p w:rsidR="00000000" w:rsidDel="00000000" w:rsidP="00000000" w:rsidRDefault="00000000" w:rsidRPr="00000000" w14:paraId="00000008">
      <w:pPr>
        <w:shd w:fill="ffffff" w:val="clear"/>
        <w:rPr>
          <w:b w:val="1"/>
          <w:color w:val="333333"/>
        </w:rPr>
      </w:pPr>
      <w:r w:rsidDel="00000000" w:rsidR="00000000" w:rsidRPr="00000000">
        <w:rPr>
          <w:b w:val="1"/>
          <w:color w:val="333333"/>
          <w:rtl w:val="0"/>
        </w:rPr>
        <w:t xml:space="preserve">Agenda Items:</w:t>
      </w:r>
    </w:p>
    <w:p w:rsidR="00000000" w:rsidDel="00000000" w:rsidP="00000000" w:rsidRDefault="00000000" w:rsidRPr="00000000" w14:paraId="00000009">
      <w:pPr>
        <w:numPr>
          <w:ilvl w:val="0"/>
          <w:numId w:val="2"/>
        </w:numPr>
        <w:shd w:fill="ffffff" w:val="clear"/>
        <w:ind w:left="940" w:hanging="360"/>
        <w:rPr>
          <w:color w:val="333333"/>
        </w:rPr>
      </w:pPr>
      <w:r w:rsidDel="00000000" w:rsidR="00000000" w:rsidRPr="00000000">
        <w:rPr>
          <w:color w:val="333333"/>
          <w:rtl w:val="0"/>
        </w:rPr>
        <w:t xml:space="preserve">Welcome and call meeting to order - called to order 4:02 PM</w:t>
      </w:r>
    </w:p>
    <w:p w:rsidR="00000000" w:rsidDel="00000000" w:rsidP="00000000" w:rsidRDefault="00000000" w:rsidRPr="00000000" w14:paraId="0000000A">
      <w:pPr>
        <w:numPr>
          <w:ilvl w:val="0"/>
          <w:numId w:val="2"/>
        </w:numPr>
        <w:shd w:fill="ffffff" w:val="clear"/>
        <w:ind w:left="940" w:hanging="360"/>
        <w:rPr>
          <w:color w:val="333333"/>
        </w:rPr>
      </w:pPr>
      <w:r w:rsidDel="00000000" w:rsidR="00000000" w:rsidRPr="00000000">
        <w:rPr>
          <w:color w:val="333333"/>
          <w:rtl w:val="0"/>
        </w:rPr>
        <w:t xml:space="preserve">Approval of minutes from our last meeting: First Carly Miskol, Raydean Fernandez second</w:t>
      </w:r>
    </w:p>
    <w:p w:rsidR="00000000" w:rsidDel="00000000" w:rsidP="00000000" w:rsidRDefault="00000000" w:rsidRPr="00000000" w14:paraId="0000000B">
      <w:pPr>
        <w:numPr>
          <w:ilvl w:val="0"/>
          <w:numId w:val="2"/>
        </w:numPr>
        <w:shd w:fill="ffffff" w:val="clear"/>
        <w:ind w:left="940" w:hanging="360"/>
        <w:rPr>
          <w:color w:val="333333"/>
        </w:rPr>
      </w:pPr>
      <w:r w:rsidDel="00000000" w:rsidR="00000000" w:rsidRPr="00000000">
        <w:rPr>
          <w:color w:val="333333"/>
          <w:shd w:fill="fbfbfb" w:val="clear"/>
          <w:rtl w:val="0"/>
        </w:rPr>
        <w:t xml:space="preserve">Continue writing TSSP and LAND Trust plans for next school year.  Discuss BLT input from their last meeting.  </w:t>
        <w:br w:type="textWrapping"/>
      </w:r>
    </w:p>
    <w:p w:rsidR="00000000" w:rsidDel="00000000" w:rsidP="00000000" w:rsidRDefault="00000000" w:rsidRPr="00000000" w14:paraId="0000000C">
      <w:pPr>
        <w:numPr>
          <w:ilvl w:val="1"/>
          <w:numId w:val="1"/>
        </w:numPr>
        <w:shd w:fill="fbfbfb" w:val="clear"/>
        <w:ind w:left="1660" w:hanging="360"/>
        <w:rPr>
          <w:color w:val="333333"/>
        </w:rPr>
      </w:pPr>
      <w:r w:rsidDel="00000000" w:rsidR="00000000" w:rsidRPr="00000000">
        <w:rPr>
          <w:color w:val="333333"/>
          <w:rtl w:val="0"/>
        </w:rPr>
        <w:t xml:space="preserve">TSSP will be worked on by school and goals/direction shared with </w:t>
      </w:r>
      <w:r w:rsidDel="00000000" w:rsidR="00000000" w:rsidRPr="00000000">
        <w:rPr>
          <w:color w:val="333333"/>
          <w:rtl w:val="0"/>
        </w:rPr>
        <w:t xml:space="preserve">SCC</w:t>
      </w:r>
      <w:r w:rsidDel="00000000" w:rsidR="00000000" w:rsidRPr="00000000">
        <w:rPr>
          <w:color w:val="333333"/>
          <w:rtl w:val="0"/>
        </w:rPr>
        <w:t xml:space="preserve"> for input.</w:t>
        <w:br w:type="textWrapping"/>
      </w:r>
    </w:p>
    <w:p w:rsidR="00000000" w:rsidDel="00000000" w:rsidP="00000000" w:rsidRDefault="00000000" w:rsidRPr="00000000" w14:paraId="0000000D">
      <w:pPr>
        <w:numPr>
          <w:ilvl w:val="1"/>
          <w:numId w:val="8"/>
        </w:numPr>
        <w:shd w:fill="fbfbfb" w:val="clear"/>
        <w:ind w:left="1660" w:hanging="360"/>
        <w:rPr>
          <w:color w:val="333333"/>
        </w:rPr>
      </w:pPr>
      <w:r w:rsidDel="00000000" w:rsidR="00000000" w:rsidRPr="00000000">
        <w:rPr>
          <w:color w:val="333333"/>
          <w:rtl w:val="0"/>
        </w:rPr>
        <w:t xml:space="preserve">SCC will write and develop the LAND Trust plan to address one or more academic goals from TSSP.</w:t>
        <w:br w:type="textWrapping"/>
        <w:br w:type="textWrapping"/>
        <w:t xml:space="preserve">We are making substantial and significant progress in our goals. We have met, or are close to, many of the initial goals the learning team set in the Fall. </w:t>
        <w:br w:type="textWrapping"/>
        <w:br w:type="textWrapping"/>
        <w:t xml:space="preserve">We want to focus on improving skills with measurable goals and data beyond what we can see in Acadience or iReady. Acadience is a screener for support, not necessarily an accurate measure of goals. iReady diagnostic is better at showing things teachers are observing in the classroom such as comprehension, context, etc. iReady gives teachers more tools for progress monitoring. </w:t>
        <w:br w:type="textWrapping"/>
        <w:br w:type="textWrapping"/>
        <w:t xml:space="preserve">For students at lower goal levels, we will still use Acadeince to measure progress. All students do iReady as a classroom tracker/implement. Pathways of Progress is a term to track progress throughout the year (via the Acadience system). </w:t>
        <w:br w:type="textWrapping"/>
        <w:br w:type="textWrapping"/>
        <w:t xml:space="preserve">As a new goal, we will focus on helping students demonstrate increased competence of social-emotional goals supported by Thrive Time curriculum. Members suggested implementing a survey or focus group of students who represent specific demographics in our student body. BLT and SW will help identify students for groups (ex: Special education, multilingual learner, friendships, specific learning or behavior groups). Teachers expressed support for focus groups as a way to understand student issues that are not always apparent in class. Members suggested both a general survey and focus group for students, as well as potentially gathering parent input for comparison (i.e. how do teachers, parents, and students all view the student experience?). </w:t>
        <w:br w:type="textWrapping"/>
        <w:br w:type="textWrapping"/>
        <w:t xml:space="preserve">Mr. Walker will define action steps with BLT and Instructional coach to help define and report on goals for the next meeting. </w:t>
        <w:br w:type="textWrapping"/>
        <w:br w:type="textWrapping"/>
        <w:t xml:space="preserve"> </w:t>
      </w:r>
    </w:p>
    <w:p w:rsidR="00000000" w:rsidDel="00000000" w:rsidP="00000000" w:rsidRDefault="00000000" w:rsidRPr="00000000" w14:paraId="0000000E">
      <w:pPr>
        <w:numPr>
          <w:ilvl w:val="0"/>
          <w:numId w:val="7"/>
        </w:numPr>
        <w:shd w:fill="ffffff" w:val="clear"/>
        <w:ind w:left="940" w:hanging="360"/>
        <w:rPr>
          <w:color w:val="333333"/>
        </w:rPr>
      </w:pPr>
      <w:r w:rsidDel="00000000" w:rsidR="00000000" w:rsidRPr="00000000">
        <w:rPr>
          <w:color w:val="333333"/>
          <w:rtl w:val="0"/>
        </w:rPr>
        <w:t xml:space="preserve">Review current year’s LAND Trust plan, data and expenditures and review if on course or if amendments are necessary.</w:t>
        <w:br w:type="textWrapping"/>
        <w:br w:type="textWrapping"/>
        <w:t xml:space="preserve">We will have more information regarding budget/funding based on enrollment by the next meeting. </w:t>
        <w:br w:type="textWrapping"/>
      </w:r>
    </w:p>
    <w:p w:rsidR="00000000" w:rsidDel="00000000" w:rsidP="00000000" w:rsidRDefault="00000000" w:rsidRPr="00000000" w14:paraId="0000000F">
      <w:pPr>
        <w:numPr>
          <w:ilvl w:val="1"/>
          <w:numId w:val="3"/>
        </w:numPr>
        <w:ind w:left="1660" w:hanging="360"/>
        <w:rPr>
          <w:color w:val="333333"/>
        </w:rPr>
      </w:pPr>
      <w:r w:rsidDel="00000000" w:rsidR="00000000" w:rsidRPr="00000000">
        <w:rPr>
          <w:color w:val="333333"/>
          <w:rtl w:val="0"/>
        </w:rPr>
        <w:t xml:space="preserve">Update on position that was approved for cafeteria.</w:t>
        <w:br w:type="textWrapping"/>
        <w:t xml:space="preserve">New hire for cafeteria position. Position will cost around $3000 for the remainder of the year. </w:t>
      </w:r>
    </w:p>
    <w:p w:rsidR="00000000" w:rsidDel="00000000" w:rsidP="00000000" w:rsidRDefault="00000000" w:rsidRPr="00000000" w14:paraId="00000010">
      <w:pPr>
        <w:numPr>
          <w:ilvl w:val="0"/>
          <w:numId w:val="4"/>
        </w:numPr>
        <w:shd w:fill="ffffff" w:val="clear"/>
        <w:ind w:left="940" w:hanging="360"/>
        <w:rPr>
          <w:color w:val="333333"/>
        </w:rPr>
      </w:pPr>
      <w:r w:rsidDel="00000000" w:rsidR="00000000" w:rsidRPr="00000000">
        <w:rPr>
          <w:color w:val="333333"/>
          <w:rtl w:val="0"/>
        </w:rPr>
        <w:t xml:space="preserve">Look at wording for environmental request form (to get parent perspectives - it’s not a voting item)</w:t>
        <w:br w:type="textWrapping"/>
        <w:t xml:space="preserve">Teachers expressed approval of the revised form, and felt that it clearly articulated/represented the placement process. </w:t>
        <w:br w:type="textWrapping"/>
        <w:br w:type="textWrapping"/>
        <w:t xml:space="preserve">Members raised questions about the large incoming 4th grade class, and how that will affect teacher/student movement for the upcoming year. </w:t>
        <w:br w:type="textWrapping"/>
        <w:br w:type="textWrapping"/>
        <w:t xml:space="preserve">Currently, the half time teacher is slated to move up with the class (from 3rd-4th). </w:t>
        <w:br w:type="textWrapping"/>
        <w:br w:type="textWrapping"/>
        <w:t xml:space="preserve">Members with students in 3rd grade this year expressed concerns about negative experiences and parent feedback with difficult transitions this year. Mr. Walker is hoping to collect parent, teacher, and student feedback in a survey to help shape ongoing 4th grade experience. </w:t>
        <w:br w:type="textWrapping"/>
        <w:br w:type="textWrapping"/>
        <w:t xml:space="preserve">Jenny moved to create a sub task force to create initial survey questions with BLT guidance. This group will collaborate to create a survey before the next meeting. Survey feedback would help teachers shape classes and formatting for next year. </w:t>
        <w:br w:type="textWrapping"/>
        <w:br w:type="textWrapping"/>
        <w:t xml:space="preserve">Members volunteered: Jenny, Katie, Holly, Kali, Ann Fisher, Emily </w:t>
        <w:br w:type="textWrapping"/>
      </w:r>
      <w:r w:rsidDel="00000000" w:rsidR="00000000" w:rsidRPr="00000000">
        <w:rPr>
          <w:b w:val="1"/>
          <w:color w:val="333333"/>
          <w:rtl w:val="0"/>
        </w:rPr>
        <w:t xml:space="preserve">Emily will reach out to Mr. Walker to find a time to meet concerning developing a survey.</w:t>
      </w:r>
      <w:r w:rsidDel="00000000" w:rsidR="00000000" w:rsidRPr="00000000">
        <w:rPr>
          <w:color w:val="333333"/>
          <w:rtl w:val="0"/>
        </w:rPr>
        <w:t xml:space="preserve"> </w:t>
        <w:br w:type="textWrapping"/>
        <w:br w:type="textWrapping"/>
        <w:t xml:space="preserve">Next year’s teacher line up is expected to be: </w:t>
        <w:br w:type="textWrapping"/>
        <w:t xml:space="preserve">Kindergarten - 4 teachers</w:t>
        <w:br w:type="textWrapping"/>
        <w:t xml:space="preserve">First Grade - 4 teachers</w:t>
        <w:br w:type="textWrapping"/>
        <w:t xml:space="preserve">Second Grade - 3 teachers</w:t>
        <w:br w:type="textWrapping"/>
        <w:t xml:space="preserve">Third Grade - 3 teachers</w:t>
        <w:br w:type="textWrapping"/>
        <w:t xml:space="preserve">Fourth Grade - 3.5 teachers</w:t>
        <w:br w:type="textWrapping"/>
        <w:t xml:space="preserve">Fifth Grade - 3 teachers</w:t>
        <w:br w:type="textWrapping"/>
        <w:br w:type="textWrapping"/>
        <w:t xml:space="preserve">SCC funds will likely pay for half-time </w:t>
      </w:r>
      <w:r w:rsidDel="00000000" w:rsidR="00000000" w:rsidRPr="00000000">
        <w:rPr>
          <w:color w:val="333333"/>
          <w:rtl w:val="0"/>
        </w:rPr>
        <w:t xml:space="preserve">teacher</w:t>
      </w:r>
      <w:r w:rsidDel="00000000" w:rsidR="00000000" w:rsidRPr="00000000">
        <w:rPr>
          <w:color w:val="333333"/>
          <w:rtl w:val="0"/>
        </w:rPr>
        <w:t xml:space="preserve">.  </w:t>
        <w:br w:type="textWrapping"/>
        <w:br w:type="textWrapping"/>
        <w:t xml:space="preserve">Members asked where we are looking to trim the budget if needed in order to begin thinking about best ways to use our funds. Interventionists can be reduced to 17 hours, teacher observations can be cut. The committee prioritizes making informed decisions based on teacher input and academic goals. </w:t>
        <w:br w:type="textWrapping"/>
        <w:br w:type="textWrapping"/>
        <w:t xml:space="preserve">All decisions will be based on how many FTE positions are approved through the district budget. </w:t>
        <w:br w:type="textWrapping"/>
        <w:br w:type="textWrapping"/>
        <w:t xml:space="preserve">Members expressed appreciation for BLT and teacher representation at SCC meetings. </w:t>
        <w:br w:type="textWrapping"/>
      </w:r>
    </w:p>
    <w:p w:rsidR="00000000" w:rsidDel="00000000" w:rsidP="00000000" w:rsidRDefault="00000000" w:rsidRPr="00000000" w14:paraId="00000011">
      <w:pPr>
        <w:numPr>
          <w:ilvl w:val="0"/>
          <w:numId w:val="4"/>
        </w:numPr>
        <w:shd w:fill="ffffff" w:val="clear"/>
        <w:ind w:left="940" w:hanging="360"/>
        <w:rPr>
          <w:color w:val="333333"/>
        </w:rPr>
      </w:pPr>
      <w:r w:rsidDel="00000000" w:rsidR="00000000" w:rsidRPr="00000000">
        <w:rPr>
          <w:color w:val="333333"/>
          <w:rtl w:val="0"/>
        </w:rPr>
        <w:t xml:space="preserve">Closing</w:t>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3">
      <w:pPr>
        <w:shd w:fill="ffffff" w:val="clear"/>
        <w:rPr>
          <w:b w:val="1"/>
          <w:color w:val="333333"/>
        </w:rPr>
      </w:pPr>
      <w:r w:rsidDel="00000000" w:rsidR="00000000" w:rsidRPr="00000000">
        <w:rPr>
          <w:b w:val="1"/>
          <w:color w:val="333333"/>
          <w:rtl w:val="0"/>
        </w:rPr>
        <w:t xml:space="preserve">Upcoming Meetings:</w:t>
      </w:r>
    </w:p>
    <w:p w:rsidR="00000000" w:rsidDel="00000000" w:rsidP="00000000" w:rsidRDefault="00000000" w:rsidRPr="00000000" w14:paraId="00000014">
      <w:pPr>
        <w:shd w:fill="ffffff" w:val="clear"/>
        <w:rPr/>
      </w:pPr>
      <w:r w:rsidDel="00000000" w:rsidR="00000000" w:rsidRPr="00000000">
        <w:rPr>
          <w:rtl w:val="0"/>
        </w:rPr>
        <w:t xml:space="preserve">March 18th</w:t>
      </w:r>
    </w:p>
    <w:p w:rsidR="00000000" w:rsidDel="00000000" w:rsidP="00000000" w:rsidRDefault="00000000" w:rsidRPr="00000000" w14:paraId="00000015">
      <w:pPr>
        <w:shd w:fill="ffffff" w:val="clear"/>
        <w:rPr/>
      </w:pPr>
      <w:r w:rsidDel="00000000" w:rsidR="00000000" w:rsidRPr="00000000">
        <w:rPr>
          <w:rtl w:val="0"/>
        </w:rPr>
        <w:t xml:space="preserve">April 15th</w:t>
      </w:r>
    </w:p>
    <w:p w:rsidR="00000000" w:rsidDel="00000000" w:rsidP="00000000" w:rsidRDefault="00000000" w:rsidRPr="00000000" w14:paraId="00000016">
      <w:pPr>
        <w:shd w:fill="ffffff" w:val="clear"/>
        <w:rPr/>
      </w:pPr>
      <w:r w:rsidDel="00000000" w:rsidR="00000000" w:rsidRPr="00000000">
        <w:rPr>
          <w:rtl w:val="0"/>
        </w:rPr>
        <w:t xml:space="preserve">May 13th</w:t>
      </w:r>
    </w:p>
    <w:p w:rsidR="00000000" w:rsidDel="00000000" w:rsidP="00000000" w:rsidRDefault="00000000" w:rsidRPr="00000000" w14:paraId="00000017">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8">
      <w:pPr>
        <w:shd w:fill="ffffff" w:val="clear"/>
        <w:ind w:left="720" w:firstLine="0"/>
        <w:jc w:val="cente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School Improvement Goals</w:t>
      </w:r>
    </w:p>
    <w:p w:rsidR="00000000" w:rsidDel="00000000" w:rsidP="00000000" w:rsidRDefault="00000000" w:rsidRPr="00000000" w14:paraId="00000019">
      <w:pPr>
        <w:shd w:fill="ffffff" w:val="clear"/>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br w:type="textWrapping"/>
        <w:br w:type="textWrapping"/>
      </w:r>
    </w:p>
    <w:p w:rsidR="00000000" w:rsidDel="00000000" w:rsidP="00000000" w:rsidRDefault="00000000" w:rsidRPr="00000000" w14:paraId="0000001A">
      <w:pPr>
        <w:numPr>
          <w:ilvl w:val="0"/>
          <w:numId w:val="6"/>
        </w:numPr>
        <w:shd w:fill="ffffff" w:val="clear"/>
        <w:ind w:left="940" w:hanging="360"/>
        <w:rPr>
          <w:color w:val="333333"/>
        </w:rPr>
      </w:pPr>
      <w:r w:rsidDel="00000000" w:rsidR="00000000" w:rsidRPr="00000000">
        <w:rPr>
          <w:b w:val="1"/>
          <w:i w:val="1"/>
          <w:color w:val="333333"/>
          <w:sz w:val="21"/>
          <w:szCs w:val="21"/>
          <w:rtl w:val="0"/>
        </w:rPr>
        <w:t xml:space="preserve">By the end of the 2024-25 school year 80% of students in grades K-5 will be </w:t>
      </w:r>
      <w:r w:rsidDel="00000000" w:rsidR="00000000" w:rsidRPr="00000000">
        <w:rPr>
          <w:b w:val="1"/>
          <w:i w:val="1"/>
          <w:color w:val="333333"/>
          <w:sz w:val="21"/>
          <w:szCs w:val="21"/>
          <w:rtl w:val="0"/>
        </w:rPr>
        <w:t xml:space="preserve">at benchmark</w:t>
      </w:r>
      <w:r w:rsidDel="00000000" w:rsidR="00000000" w:rsidRPr="00000000">
        <w:rPr>
          <w:b w:val="1"/>
          <w:i w:val="1"/>
          <w:color w:val="333333"/>
          <w:sz w:val="21"/>
          <w:szCs w:val="21"/>
          <w:rtl w:val="0"/>
        </w:rPr>
        <w:t xml:space="preserve"> based on the composite score in Acadience Learning Online (ALO) and 80% of students in grades K-5 will meet typical or better growth on the Acadience Pathway of Progress measure. </w:t>
      </w:r>
    </w:p>
    <w:p w:rsidR="00000000" w:rsidDel="00000000" w:rsidP="00000000" w:rsidRDefault="00000000" w:rsidRPr="00000000" w14:paraId="0000001B">
      <w:pPr>
        <w:numPr>
          <w:ilvl w:val="0"/>
          <w:numId w:val="6"/>
        </w:numPr>
        <w:shd w:fill="ffffff" w:val="clear"/>
        <w:ind w:left="940" w:hanging="360"/>
        <w:rPr>
          <w:color w:val="333333"/>
        </w:rPr>
      </w:pPr>
      <w:r w:rsidDel="00000000" w:rsidR="00000000" w:rsidRPr="00000000">
        <w:rPr>
          <w:b w:val="1"/>
          <w:i w:val="1"/>
          <w:color w:val="333333"/>
          <w:sz w:val="21"/>
          <w:szCs w:val="21"/>
          <w:rtl w:val="0"/>
        </w:rPr>
        <w:t xml:space="preserve">Canyon View will increase the percentage of kindergarten students who are at or above benchmark in Acadience Reading Nonsense Word Fluency - Correct Letter Sounds (NWF-CLS) by 2%, from Middle of Year (MOY) to End of Year (EOY) </w:t>
      </w:r>
    </w:p>
    <w:p w:rsidR="00000000" w:rsidDel="00000000" w:rsidP="00000000" w:rsidRDefault="00000000" w:rsidRPr="00000000" w14:paraId="0000001C">
      <w:pPr>
        <w:numPr>
          <w:ilvl w:val="0"/>
          <w:numId w:val="6"/>
        </w:numPr>
        <w:shd w:fill="ffffff" w:val="clear"/>
        <w:ind w:left="940" w:hanging="360"/>
        <w:rPr>
          <w:color w:val="333333"/>
        </w:rPr>
      </w:pPr>
      <w:r w:rsidDel="00000000" w:rsidR="00000000" w:rsidRPr="00000000">
        <w:rPr>
          <w:b w:val="1"/>
          <w:i w:val="1"/>
          <w:color w:val="333333"/>
          <w:sz w:val="21"/>
          <w:szCs w:val="21"/>
          <w:rtl w:val="0"/>
        </w:rPr>
        <w:t xml:space="preserve">Canyon View will increase the percentage of 1st grade students who are at or above benchmark in Acadience Reading Nonsense Word Fluency/Whole Words Read (NWF/WWR) by 20%, from Beginning of Year (BOY) to End of Year (EOY).</w:t>
      </w:r>
    </w:p>
    <w:p w:rsidR="00000000" w:rsidDel="00000000" w:rsidP="00000000" w:rsidRDefault="00000000" w:rsidRPr="00000000" w14:paraId="0000001D">
      <w:pPr>
        <w:shd w:fill="ffffff" w:val="clear"/>
        <w:rPr>
          <w:b w:val="1"/>
          <w:i w:val="1"/>
          <w:color w:val="333333"/>
          <w:sz w:val="21"/>
          <w:szCs w:val="21"/>
        </w:rPr>
      </w:pPr>
      <w:r w:rsidDel="00000000" w:rsidR="00000000" w:rsidRPr="00000000">
        <w:rPr>
          <w:b w:val="1"/>
          <w:i w:val="1"/>
          <w:color w:val="333333"/>
          <w:sz w:val="21"/>
          <w:szCs w:val="21"/>
          <w:rtl w:val="0"/>
        </w:rPr>
        <w:br w:type="textWrapping"/>
        <w:br w:type="textWrapping"/>
        <w:br w:type="textWrapping"/>
      </w:r>
    </w:p>
    <w:p w:rsidR="00000000" w:rsidDel="00000000" w:rsidP="00000000" w:rsidRDefault="00000000" w:rsidRPr="00000000" w14:paraId="0000001E">
      <w:pPr>
        <w:numPr>
          <w:ilvl w:val="0"/>
          <w:numId w:val="5"/>
        </w:numPr>
        <w:shd w:fill="ffffff" w:val="clear"/>
        <w:ind w:left="940" w:hanging="360"/>
        <w:rPr>
          <w:color w:val="333333"/>
        </w:rPr>
      </w:pPr>
      <w:r w:rsidDel="00000000" w:rsidR="00000000" w:rsidRPr="00000000">
        <w:rPr>
          <w:b w:val="1"/>
          <w:i w:val="1"/>
          <w:color w:val="333333"/>
          <w:sz w:val="21"/>
          <w:szCs w:val="21"/>
          <w:rtl w:val="0"/>
        </w:rPr>
        <w:t xml:space="preserve">By May 2025, 85% of students will be within the low risk range on the Spring SRSS-IE (Student Risk Screening Scale of Externalizing and Internalizing Behaviors) with both internalizing and externalizing behaviors.</w:t>
      </w:r>
    </w:p>
    <w:p w:rsidR="00000000" w:rsidDel="00000000" w:rsidP="00000000" w:rsidRDefault="00000000" w:rsidRPr="00000000" w14:paraId="0000001F">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0">
      <w:pPr>
        <w:shd w:fill="ffffff" w:val="clear"/>
        <w:rPr/>
      </w:pPr>
      <w:r w:rsidDel="00000000" w:rsidR="00000000" w:rsidRPr="00000000">
        <w:rPr>
          <w:rtl w:val="0"/>
        </w:rPr>
        <w:t xml:space="preserve">SCC Budgets for Canyon View for 2024-2025</w:t>
      </w:r>
    </w:p>
    <w:p w:rsidR="00000000" w:rsidDel="00000000" w:rsidP="00000000" w:rsidRDefault="00000000" w:rsidRPr="00000000" w14:paraId="00000021">
      <w:pPr>
        <w:shd w:fill="ffffff" w:val="clear"/>
        <w:rPr>
          <w:color w:val="222222"/>
          <w:sz w:val="24"/>
          <w:szCs w:val="24"/>
        </w:rPr>
      </w:pPr>
      <w:r w:rsidDel="00000000" w:rsidR="00000000" w:rsidRPr="00000000">
        <w:rPr>
          <w:color w:val="222222"/>
          <w:sz w:val="24"/>
          <w:szCs w:val="24"/>
          <w:rtl w:val="0"/>
        </w:rPr>
        <w:t xml:space="preserve"> </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5"/>
        <w:gridCol w:w="1590"/>
        <w:gridCol w:w="1215"/>
        <w:tblGridChange w:id="0">
          <w:tblGrid>
            <w:gridCol w:w="6045"/>
            <w:gridCol w:w="1590"/>
            <w:gridCol w:w="1215"/>
          </w:tblGrid>
        </w:tblGridChange>
      </w:tblGrid>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22">
            <w:pPr>
              <w:rPr>
                <w:color w:val="222222"/>
              </w:rPr>
            </w:pPr>
            <w:r w:rsidDel="00000000" w:rsidR="00000000" w:rsidRPr="00000000">
              <w:rPr>
                <w:rtl w:val="0"/>
              </w:rPr>
            </w:r>
          </w:p>
        </w:tc>
        <w:tc>
          <w:tcPr>
            <w:tcBorders>
              <w:top w:color="cccccc" w:space="0" w:sz="4" w:val="single"/>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3">
            <w:pPr>
              <w:rPr/>
            </w:pPr>
            <w:r w:rsidDel="00000000" w:rsidR="00000000" w:rsidRPr="00000000">
              <w:rPr>
                <w:rtl w:val="0"/>
              </w:rPr>
              <w:t xml:space="preserve">Land Trust (4110)</w:t>
            </w:r>
          </w:p>
        </w:tc>
        <w:tc>
          <w:tcPr>
            <w:tcBorders>
              <w:top w:color="cccccc" w:space="0" w:sz="4" w:val="single"/>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4">
            <w:pPr>
              <w:rPr/>
            </w:pPr>
            <w:r w:rsidDel="00000000" w:rsidR="00000000" w:rsidRPr="00000000">
              <w:rPr>
                <w:rtl w:val="0"/>
              </w:rPr>
              <w:t xml:space="preserve">TSSP (5678)</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25">
            <w:pPr>
              <w:rPr/>
            </w:pPr>
            <w:r w:rsidDel="00000000" w:rsidR="00000000" w:rsidRPr="00000000">
              <w:rPr>
                <w:rtl w:val="0"/>
              </w:rPr>
              <w:t xml:space="preserve">Starting Balance</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6">
            <w:pPr>
              <w:jc w:val="right"/>
              <w:rPr/>
            </w:pPr>
            <w:r w:rsidDel="00000000" w:rsidR="00000000" w:rsidRPr="00000000">
              <w:rPr>
                <w:rtl w:val="0"/>
              </w:rPr>
              <w:t xml:space="preserve">74,748</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7">
            <w:pPr>
              <w:jc w:val="right"/>
              <w:rPr/>
            </w:pPr>
            <w:r w:rsidDel="00000000" w:rsidR="00000000" w:rsidRPr="00000000">
              <w:rPr>
                <w:rtl w:val="0"/>
              </w:rPr>
              <w:t xml:space="preserve">131,568</w:t>
            </w:r>
          </w:p>
        </w:tc>
      </w:tr>
      <w:tr>
        <w:trPr>
          <w:cantSplit w:val="0"/>
          <w:trHeight w:val="315"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28">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9">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A">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B">
            <w:pPr>
              <w:rPr/>
            </w:pPr>
            <w:r w:rsidDel="00000000" w:rsidR="00000000" w:rsidRPr="00000000">
              <w:rPr>
                <w:rtl w:val="0"/>
              </w:rPr>
              <w:t xml:space="preserve">Interventionist 1</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jc w:val="right"/>
              <w:rPr/>
            </w:pPr>
            <w:r w:rsidDel="00000000" w:rsidR="00000000" w:rsidRPr="00000000">
              <w:rPr>
                <w:rtl w:val="0"/>
              </w:rPr>
              <w:t xml:space="preserve">16,920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rPr/>
            </w:pPr>
            <w:r w:rsidDel="00000000" w:rsidR="00000000" w:rsidRPr="00000000">
              <w:rPr>
                <w:rtl w:val="0"/>
              </w:rPr>
              <w:t xml:space="preserve">Interventionist 2</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F">
            <w:pPr>
              <w:jc w:val="right"/>
              <w:rPr/>
            </w:pPr>
            <w:r w:rsidDel="00000000" w:rsidR="00000000" w:rsidRPr="00000000">
              <w:rPr>
                <w:rtl w:val="0"/>
              </w:rPr>
              <w:t xml:space="preserve">16,920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rPr/>
            </w:pPr>
            <w:r w:rsidDel="00000000" w:rsidR="00000000" w:rsidRPr="00000000">
              <w:rPr>
                <w:rtl w:val="0"/>
              </w:rPr>
              <w:t xml:space="preserve">Interventionist 3</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jc w:val="right"/>
              <w:rPr/>
            </w:pPr>
            <w:r w:rsidDel="00000000" w:rsidR="00000000" w:rsidRPr="00000000">
              <w:rPr>
                <w:rtl w:val="0"/>
              </w:rPr>
              <w:t xml:space="preserve">16,589</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3">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rPr/>
            </w:pPr>
            <w:r w:rsidDel="00000000" w:rsidR="00000000" w:rsidRPr="00000000">
              <w:rPr>
                <w:rtl w:val="0"/>
              </w:rPr>
              <w:t xml:space="preserve">Interventionist 4</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jc w:val="right"/>
              <w:rPr/>
            </w:pPr>
            <w:r w:rsidDel="00000000" w:rsidR="00000000" w:rsidRPr="00000000">
              <w:rPr>
                <w:rtl w:val="0"/>
              </w:rPr>
              <w:t xml:space="preserve">14285</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7">
            <w:pPr>
              <w:rPr/>
            </w:pPr>
            <w:r w:rsidDel="00000000" w:rsidR="00000000" w:rsidRPr="00000000">
              <w:rPr>
                <w:rtl w:val="0"/>
              </w:rPr>
              <w:t xml:space="preserve">Interventionist 5</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jc w:val="right"/>
              <w:rPr/>
            </w:pPr>
            <w:r w:rsidDel="00000000" w:rsidR="00000000" w:rsidRPr="00000000">
              <w:rPr>
                <w:rtl w:val="0"/>
              </w:rPr>
              <w:t xml:space="preserve">6275</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rPr/>
            </w:pPr>
            <w:r w:rsidDel="00000000" w:rsidR="00000000" w:rsidRPr="00000000">
              <w:rPr>
                <w:rtl w:val="0"/>
              </w:rPr>
              <w:t xml:space="preserve">BA</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B">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C">
            <w:pPr>
              <w:jc w:val="right"/>
              <w:rPr/>
            </w:pPr>
            <w:r w:rsidDel="00000000" w:rsidR="00000000" w:rsidRPr="00000000">
              <w:rPr>
                <w:rtl w:val="0"/>
              </w:rPr>
              <w:t xml:space="preserve">$16,622.00</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3D">
            <w:pPr>
              <w:rPr/>
            </w:pPr>
            <w:r w:rsidDel="00000000" w:rsidR="00000000" w:rsidRPr="00000000">
              <w:rPr>
                <w:rtl w:val="0"/>
              </w:rPr>
              <w:t xml:space="preserve">SW</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E">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F">
            <w:pPr>
              <w:jc w:val="right"/>
              <w:rPr/>
            </w:pPr>
            <w:r w:rsidDel="00000000" w:rsidR="00000000" w:rsidRPr="00000000">
              <w:rPr>
                <w:rtl w:val="0"/>
              </w:rPr>
              <w:t xml:space="preserve">$30,000.00</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40">
            <w:pPr>
              <w:rPr/>
            </w:pPr>
            <w:r w:rsidDel="00000000" w:rsidR="00000000" w:rsidRPr="00000000">
              <w:rPr>
                <w:rtl w:val="0"/>
              </w:rPr>
              <w:t xml:space="preserve">BLT - Subs</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1">
            <w:pPr>
              <w:jc w:val="right"/>
              <w:rPr/>
            </w:pPr>
            <w:r w:rsidDel="00000000" w:rsidR="00000000" w:rsidRPr="00000000">
              <w:rPr>
                <w:rtl w:val="0"/>
              </w:rPr>
              <w:t xml:space="preserve">5000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2">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43">
            <w:pPr>
              <w:rPr/>
            </w:pPr>
            <w:r w:rsidDel="00000000" w:rsidR="00000000" w:rsidRPr="00000000">
              <w:rPr>
                <w:rtl w:val="0"/>
              </w:rPr>
              <w:t xml:space="preserve">Admission/Registration</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4">
            <w:pPr>
              <w:jc w:val="right"/>
              <w:rPr/>
            </w:pPr>
            <w:r w:rsidDel="00000000" w:rsidR="00000000" w:rsidRPr="00000000">
              <w:rPr>
                <w:rtl w:val="0"/>
              </w:rPr>
              <w:t xml:space="preserve">3000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5">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46">
            <w:pPr>
              <w:rPr/>
            </w:pPr>
            <w:r w:rsidDel="00000000" w:rsidR="00000000" w:rsidRPr="00000000">
              <w:rPr>
                <w:rtl w:val="0"/>
              </w:rPr>
              <w:t xml:space="preserve">General Supplies</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7">
            <w:pPr>
              <w:jc w:val="right"/>
              <w:rPr/>
            </w:pPr>
            <w:r w:rsidDel="00000000" w:rsidR="00000000" w:rsidRPr="00000000">
              <w:rPr>
                <w:rtl w:val="0"/>
              </w:rPr>
              <w:t xml:space="preserve">3000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8">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49">
            <w:pPr>
              <w:rPr/>
            </w:pPr>
            <w:r w:rsidDel="00000000" w:rsidR="00000000" w:rsidRPr="00000000">
              <w:rPr>
                <w:rtl w:val="0"/>
              </w:rPr>
              <w:t xml:space="preserve">.6 FTE Teacher (3rd Grade)</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A">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B">
            <w:pPr>
              <w:jc w:val="right"/>
              <w:rPr/>
            </w:pPr>
            <w:r w:rsidDel="00000000" w:rsidR="00000000" w:rsidRPr="00000000">
              <w:rPr>
                <w:rtl w:val="0"/>
              </w:rPr>
              <w:t xml:space="preserve">$47,425.00</w:t>
            </w:r>
          </w:p>
        </w:tc>
      </w:tr>
      <w:tr>
        <w:trPr>
          <w:cantSplit w:val="0"/>
          <w:trHeight w:val="78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4C">
            <w:pPr>
              <w:rPr/>
            </w:pPr>
            <w:r w:rsidDel="00000000" w:rsidR="00000000" w:rsidRPr="00000000">
              <w:rPr>
                <w:rtl w:val="0"/>
              </w:rPr>
              <w:t xml:space="preserve">Adding an hour/day to each interventionist (puts them up to 25 hrs/wk)</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D">
            <w:pPr>
              <w:jc w:val="right"/>
              <w:rPr/>
            </w:pPr>
            <w:r w:rsidDel="00000000" w:rsidR="00000000" w:rsidRPr="00000000">
              <w:rPr>
                <w:rtl w:val="0"/>
              </w:rPr>
              <w:t xml:space="preserve">7050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E">
            <w:pPr>
              <w:jc w:val="right"/>
              <w:rPr/>
            </w:pPr>
            <w:r w:rsidDel="00000000" w:rsidR="00000000" w:rsidRPr="00000000">
              <w:rPr>
                <w:rtl w:val="0"/>
              </w:rPr>
              <w:t xml:space="preserve">$7,050.00</w:t>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F">
            <w:pPr>
              <w:rPr/>
            </w:pPr>
            <w:r w:rsidDel="00000000" w:rsidR="00000000" w:rsidRPr="00000000">
              <w:rPr>
                <w:rtl w:val="0"/>
              </w:rPr>
              <w:t xml:space="preserve">Subs for peer observations &amp; team planning</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0">
            <w:pPr>
              <w:jc w:val="right"/>
              <w:rPr/>
            </w:pPr>
            <w:r w:rsidDel="00000000" w:rsidR="00000000" w:rsidRPr="00000000">
              <w:rPr>
                <w:rtl w:val="0"/>
              </w:rPr>
              <w:t xml:space="preserve">3000</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1">
            <w:pPr>
              <w:rPr>
                <w:color w:val="222222"/>
              </w:rPr>
            </w:pPr>
            <w:r w:rsidDel="00000000" w:rsidR="00000000" w:rsidRPr="00000000">
              <w:rPr>
                <w:rtl w:val="0"/>
              </w:rPr>
            </w:r>
          </w:p>
        </w:tc>
      </w:tr>
      <w:tr>
        <w:trPr>
          <w:cantSplit w:val="0"/>
          <w:trHeight w:val="315"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2">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3">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4">
            <w:pPr>
              <w:rPr>
                <w:color w:val="222222"/>
              </w:rPr>
            </w:pPr>
            <w:r w:rsidDel="00000000" w:rsidR="00000000" w:rsidRPr="00000000">
              <w:rPr>
                <w:rtl w:val="0"/>
              </w:rPr>
            </w:r>
          </w:p>
        </w:tc>
      </w:tr>
      <w:tr>
        <w:trPr>
          <w:cantSplit w:val="0"/>
          <w:trHeight w:val="330"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55">
            <w:pPr>
              <w:rPr/>
            </w:pPr>
            <w:r w:rsidDel="00000000" w:rsidR="00000000" w:rsidRPr="00000000">
              <w:rPr>
                <w:rtl w:val="0"/>
              </w:rPr>
              <w:t xml:space="preserve">Total Spent</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6">
            <w:pPr>
              <w:jc w:val="right"/>
              <w:rPr/>
            </w:pPr>
            <w:r w:rsidDel="00000000" w:rsidR="00000000" w:rsidRPr="00000000">
              <w:rPr>
                <w:rtl w:val="0"/>
              </w:rPr>
              <w:t xml:space="preserve">68479</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7">
            <w:pPr>
              <w:jc w:val="right"/>
              <w:rPr/>
            </w:pPr>
            <w:r w:rsidDel="00000000" w:rsidR="00000000" w:rsidRPr="00000000">
              <w:rPr>
                <w:rtl w:val="0"/>
              </w:rPr>
              <w:t xml:space="preserve">121657</w:t>
            </w:r>
          </w:p>
        </w:tc>
      </w:tr>
      <w:tr>
        <w:trPr>
          <w:cantSplit w:val="0"/>
          <w:trHeight w:val="315"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58">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9">
            <w:pPr>
              <w:rPr>
                <w:color w:val="222222"/>
              </w:rPr>
            </w:pPr>
            <w:r w:rsidDel="00000000" w:rsidR="00000000" w:rsidRPr="00000000">
              <w:rPr>
                <w:rtl w:val="0"/>
              </w:rPr>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A">
            <w:pPr>
              <w:rPr>
                <w:color w:val="222222"/>
              </w:rPr>
            </w:pPr>
            <w:r w:rsidDel="00000000" w:rsidR="00000000" w:rsidRPr="00000000">
              <w:rPr>
                <w:rtl w:val="0"/>
              </w:rPr>
            </w:r>
          </w:p>
        </w:tc>
      </w:tr>
      <w:tr>
        <w:trPr>
          <w:cantSplit w:val="0"/>
          <w:trHeight w:val="555" w:hRule="atLeast"/>
          <w:tblHeader w:val="0"/>
        </w:trPr>
        <w:tc>
          <w:tcPr>
            <w:tcBorders>
              <w:top w:color="000000" w:space="0" w:sz="0" w:val="nil"/>
              <w:left w:color="cccccc" w:space="0" w:sz="4" w:val="single"/>
              <w:bottom w:color="cccccc" w:space="0" w:sz="4" w:val="single"/>
              <w:right w:color="cccccc" w:space="0" w:sz="4" w:val="single"/>
            </w:tcBorders>
            <w:tcMar>
              <w:top w:w="40.0" w:type="dxa"/>
              <w:left w:w="40.0" w:type="dxa"/>
              <w:bottom w:w="40.0" w:type="dxa"/>
              <w:right w:w="40.0" w:type="dxa"/>
            </w:tcMar>
            <w:vAlign w:val="top"/>
          </w:tcPr>
          <w:p w:rsidR="00000000" w:rsidDel="00000000" w:rsidP="00000000" w:rsidRDefault="00000000" w:rsidRPr="00000000" w14:paraId="0000005B">
            <w:pPr>
              <w:rPr/>
            </w:pPr>
            <w:r w:rsidDel="00000000" w:rsidR="00000000" w:rsidRPr="00000000">
              <w:rPr>
                <w:rtl w:val="0"/>
              </w:rPr>
              <w:t xml:space="preserve">Amount Remaining</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C">
            <w:pPr>
              <w:jc w:val="right"/>
              <w:rPr/>
            </w:pPr>
            <w:r w:rsidDel="00000000" w:rsidR="00000000" w:rsidRPr="00000000">
              <w:rPr>
                <w:rtl w:val="0"/>
              </w:rPr>
              <w:t xml:space="preserve">3,269</w:t>
            </w:r>
          </w:p>
        </w:tc>
        <w:tc>
          <w:tcPr>
            <w:tcBorders>
              <w:top w:color="000000" w:space="0" w:sz="0" w:val="nil"/>
              <w:left w:color="000000" w:space="0" w:sz="0" w:val="nil"/>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D">
            <w:pPr>
              <w:jc w:val="right"/>
              <w:rPr/>
            </w:pPr>
            <w:r w:rsidDel="00000000" w:rsidR="00000000" w:rsidRPr="00000000">
              <w:rPr>
                <w:rtl w:val="0"/>
              </w:rPr>
              <w:t xml:space="preserve">9,911</w:t>
            </w:r>
          </w:p>
          <w:p w:rsidR="00000000" w:rsidDel="00000000" w:rsidP="00000000" w:rsidRDefault="00000000" w:rsidRPr="00000000" w14:paraId="0000005E">
            <w:pPr>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4"/>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5"/>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4"/>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3"/>
      <w:numFmt w:val="decimal"/>
      <w:lvlText w:val="%1."/>
      <w:lvlJc w:val="left"/>
      <w:pPr>
        <w:ind w:left="720" w:hanging="360"/>
      </w:pPr>
      <w:rPr>
        <w:rFonts w:ascii="Arial" w:cs="Arial" w:eastAsia="Arial" w:hAnsi="Arial"/>
        <w:color w:val="222222"/>
        <w:sz w:val="22"/>
        <w:szCs w:val="22"/>
        <w:u w:val="none"/>
      </w:rPr>
    </w:lvl>
    <w:lvl w:ilvl="1">
      <w:start w:val="2"/>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